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Тальменского</w:t>
      </w:r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3903" w:rsidRDefault="00D93903" w:rsidP="00D9390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......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</w:t>
      </w:r>
      <w:r w:rsidR="00C52AE6">
        <w:rPr>
          <w:rFonts w:ascii="Times New Roman" w:hAnsi="Times New Roman" w:cs="Times New Roman"/>
          <w:iCs/>
          <w:sz w:val="28"/>
          <w:szCs w:val="28"/>
        </w:rPr>
        <w:t>2</w:t>
      </w:r>
      <w:r w:rsidR="00306733">
        <w:rPr>
          <w:rFonts w:ascii="Times New Roman" w:hAnsi="Times New Roman" w:cs="Times New Roman"/>
          <w:iCs/>
          <w:sz w:val="28"/>
          <w:szCs w:val="28"/>
        </w:rPr>
        <w:t>2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......</w:t>
      </w:r>
    </w:p>
    <w:p w:rsidR="003609C3" w:rsidRPr="009822D2" w:rsidRDefault="006902D1" w:rsidP="00D9390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AE6" w:rsidRPr="008805DF" w:rsidRDefault="00C52AE6" w:rsidP="00C52AE6">
            <w:pPr>
              <w:tabs>
                <w:tab w:val="left" w:pos="885"/>
              </w:tabs>
              <w:ind w:right="499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05DF">
              <w:rPr>
                <w:sz w:val="28"/>
                <w:szCs w:val="28"/>
              </w:rPr>
              <w:t xml:space="preserve"> передаче Контрольно-счетной палате Тальменского района полномочий контрольно-счетного органа муниципального образования Среднесибирский сельсовет </w:t>
            </w:r>
            <w:r>
              <w:rPr>
                <w:sz w:val="28"/>
                <w:szCs w:val="28"/>
              </w:rPr>
              <w:t xml:space="preserve"> Тальменского района Алтайского края по </w:t>
            </w:r>
            <w:r w:rsidRPr="008805DF">
              <w:rPr>
                <w:sz w:val="28"/>
                <w:szCs w:val="28"/>
              </w:rPr>
              <w:t xml:space="preserve">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</w:t>
            </w:r>
            <w:r w:rsidR="003067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337E0F" w:rsidRPr="0053686E" w:rsidRDefault="00337E0F" w:rsidP="0053686E">
      <w:pPr>
        <w:jc w:val="center"/>
        <w:rPr>
          <w:rFonts w:eastAsiaTheme="minorHAnsi"/>
          <w:sz w:val="28"/>
          <w:szCs w:val="28"/>
          <w:lang w:eastAsia="en-US"/>
        </w:rPr>
      </w:pPr>
    </w:p>
    <w:p w:rsidR="006953A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1. </w:t>
      </w:r>
      <w:r w:rsidR="00C52AE6">
        <w:rPr>
          <w:rFonts w:eastAsiaTheme="minorHAnsi"/>
          <w:sz w:val="28"/>
          <w:szCs w:val="28"/>
          <w:lang w:eastAsia="en-US"/>
        </w:rPr>
        <w:t xml:space="preserve">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</w:t>
      </w:r>
      <w:r w:rsidR="00C52AE6" w:rsidRPr="008805DF">
        <w:rPr>
          <w:sz w:val="28"/>
          <w:szCs w:val="28"/>
        </w:rPr>
        <w:t xml:space="preserve">о </w:t>
      </w:r>
      <w:r w:rsidR="00C52AE6">
        <w:rPr>
          <w:sz w:val="28"/>
          <w:szCs w:val="28"/>
        </w:rPr>
        <w:t>передаче К</w:t>
      </w:r>
      <w:r w:rsidR="00C52AE6" w:rsidRPr="008805DF">
        <w:rPr>
          <w:sz w:val="28"/>
          <w:szCs w:val="28"/>
        </w:rPr>
        <w:t xml:space="preserve">онтрольно-счетной палате Тальменского района полномочий контрольно-счетного органа муниципального образования Среднесибирский сельсовет </w:t>
      </w:r>
      <w:r w:rsidR="00C52AE6">
        <w:rPr>
          <w:sz w:val="28"/>
          <w:szCs w:val="28"/>
        </w:rPr>
        <w:t xml:space="preserve"> Тальменского района Алтайского края по </w:t>
      </w:r>
      <w:r w:rsidR="00C52AE6" w:rsidRPr="008805DF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="00C52AE6">
        <w:rPr>
          <w:sz w:val="28"/>
          <w:szCs w:val="28"/>
        </w:rPr>
        <w:t>на 202</w:t>
      </w:r>
      <w:r w:rsidR="00306733">
        <w:rPr>
          <w:sz w:val="28"/>
          <w:szCs w:val="28"/>
        </w:rPr>
        <w:t>3</w:t>
      </w:r>
      <w:r w:rsidR="00C52AE6">
        <w:rPr>
          <w:sz w:val="28"/>
          <w:szCs w:val="28"/>
        </w:rPr>
        <w:t xml:space="preserve"> год </w:t>
      </w:r>
      <w:r w:rsidR="0018182B" w:rsidRPr="0053686E">
        <w:rPr>
          <w:rFonts w:eastAsiaTheme="minorHAnsi"/>
          <w:sz w:val="28"/>
          <w:szCs w:val="28"/>
          <w:lang w:eastAsia="en-US"/>
        </w:rPr>
        <w:t>(прил</w:t>
      </w:r>
      <w:r w:rsidR="00100B03">
        <w:rPr>
          <w:rFonts w:eastAsiaTheme="minorHAnsi"/>
          <w:sz w:val="28"/>
          <w:szCs w:val="28"/>
          <w:lang w:eastAsia="en-US"/>
        </w:rPr>
        <w:t>ожение 1 и 2</w:t>
      </w:r>
      <w:r w:rsidR="00C52AE6">
        <w:rPr>
          <w:rFonts w:eastAsiaTheme="minorHAnsi"/>
          <w:sz w:val="28"/>
          <w:szCs w:val="28"/>
          <w:lang w:eastAsia="en-US"/>
        </w:rPr>
        <w:t>)</w:t>
      </w:r>
      <w:r w:rsidR="0018182B" w:rsidRPr="0053686E">
        <w:rPr>
          <w:rFonts w:eastAsiaTheme="minorHAnsi"/>
          <w:sz w:val="28"/>
          <w:szCs w:val="28"/>
          <w:lang w:eastAsia="en-US"/>
        </w:rPr>
        <w:t>.</w:t>
      </w:r>
    </w:p>
    <w:p w:rsidR="0053686E" w:rsidRPr="0053686E" w:rsidRDefault="006953AE" w:rsidP="006953A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686E"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r w:rsidR="0053686E" w:rsidRPr="0053686E">
        <w:rPr>
          <w:rFonts w:eastAsiaTheme="minorHAnsi"/>
          <w:sz w:val="28"/>
          <w:szCs w:val="28"/>
          <w:lang w:eastAsia="en-US"/>
        </w:rPr>
        <w:t>Тальменского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C5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Эрмиш В.Я.</w:t>
      </w:r>
    </w:p>
    <w:p w:rsidR="00306733" w:rsidRDefault="00C52AE6" w:rsidP="0030673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733" w:rsidRPr="0012036D" w:rsidRDefault="00306733" w:rsidP="00306733">
      <w:pPr>
        <w:ind w:left="5245"/>
        <w:contextualSpacing/>
      </w:pPr>
      <w:r w:rsidRPr="0012036D">
        <w:lastRenderedPageBreak/>
        <w:t xml:space="preserve">Приложение 1 к решению Совета депутатов Среднесибирского сельсовета № </w:t>
      </w:r>
      <w:r w:rsidR="00D93903">
        <w:t xml:space="preserve"> от .......</w:t>
      </w:r>
    </w:p>
    <w:p w:rsidR="00306733" w:rsidRDefault="00306733" w:rsidP="00306733">
      <w:pPr>
        <w:contextualSpacing/>
        <w:jc w:val="center"/>
        <w:rPr>
          <w:sz w:val="28"/>
          <w:szCs w:val="28"/>
        </w:rPr>
      </w:pPr>
    </w:p>
    <w:p w:rsidR="00306733" w:rsidRPr="00306733" w:rsidRDefault="00306733" w:rsidP="00306733">
      <w:pPr>
        <w:contextualSpacing/>
        <w:jc w:val="center"/>
      </w:pPr>
      <w:r w:rsidRPr="00306733">
        <w:t>Соглашение 14</w:t>
      </w:r>
    </w:p>
    <w:p w:rsidR="00306733" w:rsidRPr="00306733" w:rsidRDefault="00306733" w:rsidP="00306733">
      <w:pPr>
        <w:contextualSpacing/>
        <w:jc w:val="center"/>
      </w:pPr>
      <w:r w:rsidRPr="00306733">
        <w:t>о передаче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по осуществлению внешнего муниципального финансового контроля на 2023 год</w:t>
      </w:r>
    </w:p>
    <w:p w:rsidR="00306733" w:rsidRPr="00306733" w:rsidRDefault="00306733" w:rsidP="00306733">
      <w:pPr>
        <w:jc w:val="both"/>
      </w:pPr>
    </w:p>
    <w:p w:rsidR="00306733" w:rsidRPr="00306733" w:rsidRDefault="00306733" w:rsidP="00306733">
      <w:pPr>
        <w:jc w:val="both"/>
      </w:pPr>
      <w:r w:rsidRPr="00306733">
        <w:t>р.п.Тальменка                                                                         «__»_____________2022 г.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306733" w:rsidRPr="00306733" w:rsidRDefault="00306733" w:rsidP="00306733">
      <w:pPr>
        <w:ind w:firstLine="709"/>
        <w:jc w:val="both"/>
      </w:pPr>
      <w:r w:rsidRPr="00306733">
        <w:t>Тальменский районный Совет народных депутатов Алтайского края (далее - представительный орган муниципального района) в лице председателя Карташева В.Н.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Среднесибирского сельсовета Тальменского района в лице главы сельсовета Эрмиша В.Я., действующего на основании Устава, далее именуемые «Стороны», заключили настоящее о нижеследующем:</w:t>
      </w:r>
    </w:p>
    <w:p w:rsidR="00306733" w:rsidRPr="00306733" w:rsidRDefault="00306733" w:rsidP="003067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73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06733" w:rsidRPr="00306733" w:rsidRDefault="00306733" w:rsidP="00306733">
      <w:pPr>
        <w:ind w:firstLine="709"/>
        <w:contextualSpacing/>
        <w:jc w:val="both"/>
        <w:rPr>
          <w:b/>
        </w:rPr>
      </w:pPr>
      <w:r w:rsidRPr="00306733">
        <w:t xml:space="preserve">1.1. Предметом настоящего Соглашения является передача Контрольно-счетной палате Тальменского района полномочий контрольно-счетного органа муниципального образования Среднесибирский сельсовет Тальменского района на 2023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2023 году в объеме, определенном Методикой расчета межбюджетных трансфертов, передаваемых из бюджетов поселений 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2023 год, согласно приложению, являющегося неотъемлемой частью настоящего Соглашения в сумме </w:t>
      </w:r>
      <w:r w:rsidRPr="00306733">
        <w:rPr>
          <w:b/>
        </w:rPr>
        <w:t>900 (Девятьсот) рублей 00 копеек.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1.2. Контрольно-счетной палате Тальменского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поселения, в том числе: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экспертиза проекта бюджета муниципального образования Среднесибирский сельсовет Тальменского района Алтайского края;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внешняя проверка годового отчета об исполнении бюджета муниципального образования Среднесибирский сельсовет Тальменского района Алтайского края.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Тальменского района.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</w:t>
      </w:r>
      <w:r w:rsidRPr="00306733">
        <w:lastRenderedPageBreak/>
        <w:t>Количество указанных мероприятий определяется с учетом средств, переданных на исполнение полномочий.</w:t>
      </w:r>
    </w:p>
    <w:p w:rsidR="00306733" w:rsidRPr="00306733" w:rsidRDefault="00306733" w:rsidP="00306733">
      <w:pPr>
        <w:ind w:firstLine="709"/>
        <w:contextualSpacing/>
        <w:jc w:val="both"/>
        <w:rPr>
          <w:b/>
        </w:rPr>
      </w:pPr>
      <w:r w:rsidRPr="00306733"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указанном в части 1.1. настоящего Соглашения и утвержденном решением представительного органа на 2023 год, </w:t>
      </w:r>
      <w:r w:rsidRPr="00306733">
        <w:rPr>
          <w:b/>
        </w:rPr>
        <w:t>не позднее 01 октября 2023 года.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2. Общие условия реализации полномочий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2.2.1. При проведении экспертизы проекта решения о бюджете муниципального образования Среднесибирский сельсовет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306733">
        <w:rPr>
          <w:b/>
        </w:rPr>
        <w:t>не позднее 15 ноября</w:t>
      </w:r>
      <w:r w:rsidRPr="00306733">
        <w:t xml:space="preserve"> текущего финансового года.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2.2.2. При проведении внешней проверки годового отчета об исполнении муниципального образования Среднесибирский сельсовет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Органы местного самоуправления поселения </w:t>
      </w:r>
      <w:r w:rsidRPr="00306733">
        <w:rPr>
          <w:rStyle w:val="blk"/>
        </w:rPr>
        <w:t xml:space="preserve">представляют </w:t>
      </w:r>
      <w:r w:rsidRPr="00306733">
        <w:t xml:space="preserve">Контрольно-счетной палате Тальменского района </w:t>
      </w:r>
      <w:r w:rsidRPr="00306733">
        <w:rPr>
          <w:rStyle w:val="blk"/>
        </w:rPr>
        <w:t xml:space="preserve">отчет об исполнении местного бюджета для подготовки заключения на него </w:t>
      </w:r>
      <w:r w:rsidRPr="00306733">
        <w:rPr>
          <w:rStyle w:val="blk"/>
          <w:b/>
        </w:rPr>
        <w:t xml:space="preserve">не позднее 1 апреля текущего года </w:t>
      </w:r>
      <w:r w:rsidRPr="00306733">
        <w:t>в целях проведения внешней проверки.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 xml:space="preserve">Заключение на годовой отчет об исполнении бюджета поселения представляется </w:t>
      </w:r>
      <w:r w:rsidRPr="00306733">
        <w:t>Контрольно-счетной палатой Тальменского района</w:t>
      </w:r>
      <w:r w:rsidRPr="00306733">
        <w:rPr>
          <w:rStyle w:val="blk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t>Контрольно-счетная палата Тальменского район вправе направлять материалы по результатам проведенных мероприятий иным государственным органам, размещать информацию о проведенных мероприятиях на официальном сайте контрольно-счетного органа в информационно-телекоммуникационной сети Интернет.</w:t>
      </w:r>
    </w:p>
    <w:p w:rsidR="00306733" w:rsidRPr="00306733" w:rsidRDefault="00306733" w:rsidP="00306733">
      <w:pPr>
        <w:ind w:firstLine="709"/>
        <w:contextualSpacing/>
        <w:jc w:val="both"/>
        <w:rPr>
          <w:rStyle w:val="blk"/>
        </w:rPr>
      </w:pPr>
      <w:r w:rsidRPr="00306733">
        <w:rPr>
          <w:rStyle w:val="blk"/>
        </w:rPr>
        <w:lastRenderedPageBreak/>
        <w:t>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3. Права и обязанности Сторон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 Представительный орган поселения: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3.1.5. утверждает в решении о бюджете поселения межбюджетные трансферты бюджету Тальменского района на осуществление переданных полномочий в 2023 году и обеспечивает контроль за их перечислением в бюджет муниципального района в установленный частью 1.6. настоящего Соглашения срок.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3.2.Представительный орган муниципального района: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t>4. Срок действия Соглашения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4.1. Соглашение заключено на один год и действует в период с 01 января 2023 года по 31 декабря 2023 года.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Default="00306733" w:rsidP="00306733">
      <w:pPr>
        <w:ind w:left="360"/>
        <w:contextualSpacing/>
        <w:jc w:val="center"/>
        <w:rPr>
          <w:b/>
        </w:rPr>
      </w:pPr>
    </w:p>
    <w:p w:rsidR="00306733" w:rsidRPr="00306733" w:rsidRDefault="00306733" w:rsidP="00306733">
      <w:pPr>
        <w:ind w:left="360"/>
        <w:contextualSpacing/>
        <w:jc w:val="center"/>
        <w:rPr>
          <w:b/>
        </w:rPr>
      </w:pPr>
      <w:r w:rsidRPr="00306733">
        <w:rPr>
          <w:b/>
        </w:rPr>
        <w:lastRenderedPageBreak/>
        <w:t>5. Заключительные положения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5.5. Настоящее Соглашение вступает в силу с момента его подписания.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306733" w:rsidRPr="00306733" w:rsidRDefault="00306733" w:rsidP="00306733">
      <w:pPr>
        <w:ind w:firstLine="709"/>
        <w:contextualSpacing/>
        <w:jc w:val="both"/>
      </w:pPr>
      <w:r w:rsidRPr="00306733"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06733" w:rsidRPr="00306733" w:rsidRDefault="00306733" w:rsidP="00306733">
      <w:pPr>
        <w:ind w:firstLine="709"/>
        <w:jc w:val="both"/>
      </w:pPr>
      <w:r w:rsidRPr="00306733"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  <w:r w:rsidRPr="00306733">
              <w:t>Совет депутатов Среднесибирского сельсовета 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_________________/В.Н. Карташев 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  <w:p w:rsidR="00306733" w:rsidRPr="00306733" w:rsidRDefault="00306733" w:rsidP="00306733">
            <w:pPr>
              <w:jc w:val="both"/>
            </w:pPr>
            <w:r w:rsidRPr="00306733">
              <w:t>Глава сельсовета</w:t>
            </w:r>
          </w:p>
          <w:p w:rsidR="00306733" w:rsidRPr="00306733" w:rsidRDefault="00306733" w:rsidP="00306733">
            <w:pPr>
              <w:jc w:val="both"/>
            </w:pPr>
            <w:r w:rsidRPr="00306733">
              <w:t>________________/В.Я. Эрмиш/</w:t>
            </w:r>
          </w:p>
        </w:tc>
      </w:tr>
    </w:tbl>
    <w:p w:rsidR="00306733" w:rsidRPr="00306733" w:rsidRDefault="00306733" w:rsidP="00306733">
      <w:pPr>
        <w:jc w:val="both"/>
      </w:pPr>
      <w:r w:rsidRPr="00306733">
        <w:t>М.П.                                                            М.П.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</w:tc>
      </w:tr>
    </w:tbl>
    <w:p w:rsidR="00306733" w:rsidRPr="00306733" w:rsidRDefault="00306733" w:rsidP="00306733">
      <w:pPr>
        <w:jc w:val="both"/>
      </w:pPr>
      <w:r w:rsidRPr="00306733">
        <w:t xml:space="preserve">М.П.                  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236"/>
      </w:tblGrid>
      <w:tr w:rsidR="00306733" w:rsidRPr="00306733" w:rsidTr="00306733">
        <w:tc>
          <w:tcPr>
            <w:tcW w:w="4435" w:type="dxa"/>
          </w:tcPr>
          <w:p w:rsidR="00306733" w:rsidRPr="00306733" w:rsidRDefault="00306733" w:rsidP="00306733">
            <w:pPr>
              <w:jc w:val="both"/>
            </w:pPr>
          </w:p>
        </w:tc>
        <w:tc>
          <w:tcPr>
            <w:tcW w:w="5236" w:type="dxa"/>
          </w:tcPr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>
            <w:pPr>
              <w:jc w:val="both"/>
            </w:pPr>
          </w:p>
          <w:p w:rsidR="00306733" w:rsidRDefault="00306733" w:rsidP="00306733"/>
          <w:p w:rsidR="00306733" w:rsidRPr="0012036D" w:rsidRDefault="00306733" w:rsidP="00306733">
            <w:pPr>
              <w:ind w:left="25"/>
              <w:contextualSpacing/>
            </w:pPr>
            <w:r w:rsidRPr="0012036D">
              <w:t xml:space="preserve">Приложение 1 к решению Совета депутатов Среднесибирского сельсовета № </w:t>
            </w:r>
            <w:r>
              <w:t>11</w:t>
            </w:r>
            <w:r w:rsidRPr="0012036D">
              <w:t xml:space="preserve"> от 2</w:t>
            </w:r>
            <w:r>
              <w:t>6</w:t>
            </w:r>
            <w:r w:rsidRPr="0012036D">
              <w:t>.</w:t>
            </w:r>
            <w:r>
              <w:t>10</w:t>
            </w:r>
            <w:r w:rsidRPr="0012036D">
              <w:t>.202</w:t>
            </w:r>
            <w:r>
              <w:t>2</w:t>
            </w:r>
            <w:r w:rsidRPr="0012036D">
              <w:t xml:space="preserve"> г.</w:t>
            </w:r>
          </w:p>
          <w:p w:rsidR="00306733" w:rsidRPr="00306733" w:rsidRDefault="00306733" w:rsidP="00306733"/>
        </w:tc>
      </w:tr>
    </w:tbl>
    <w:p w:rsidR="00306733" w:rsidRPr="00306733" w:rsidRDefault="00306733" w:rsidP="00306733">
      <w:pPr>
        <w:ind w:left="360"/>
        <w:jc w:val="both"/>
      </w:pPr>
    </w:p>
    <w:p w:rsidR="00306733" w:rsidRPr="00306733" w:rsidRDefault="00306733" w:rsidP="00306733">
      <w:pPr>
        <w:ind w:firstLine="709"/>
        <w:contextualSpacing/>
        <w:jc w:val="center"/>
        <w:rPr>
          <w:b/>
        </w:rPr>
      </w:pPr>
      <w:r w:rsidRPr="00306733">
        <w:rPr>
          <w:b/>
        </w:rPr>
        <w:t>Объем межбюджетных трансфертов, передаваемых из бюджета</w:t>
      </w:r>
      <w:r w:rsidRPr="00306733">
        <w:t xml:space="preserve"> </w:t>
      </w:r>
      <w:r w:rsidRPr="00306733">
        <w:rPr>
          <w:b/>
        </w:rPr>
        <w:t>муниципального образования Среднесибирский сельсовет</w:t>
      </w:r>
      <w:r w:rsidRPr="00306733">
        <w:t xml:space="preserve"> </w:t>
      </w:r>
      <w:r w:rsidRPr="00306733">
        <w:rPr>
          <w:b/>
        </w:rPr>
        <w:t>Тальменского района в бюджет Тальменского муниципального района на осуществление полномочий контрольно-счетного органа поселения по внешнему муниципальному контролю согласно методике расчета</w:t>
      </w:r>
    </w:p>
    <w:p w:rsidR="00306733" w:rsidRPr="00306733" w:rsidRDefault="00306733" w:rsidP="00306733">
      <w:pPr>
        <w:contextualSpacing/>
        <w:jc w:val="center"/>
        <w:rPr>
          <w:b/>
        </w:rPr>
      </w:pPr>
      <w:r w:rsidRPr="00306733">
        <w:rPr>
          <w:b/>
        </w:rPr>
        <w:t>на 2023 год</w:t>
      </w:r>
    </w:p>
    <w:p w:rsidR="00306733" w:rsidRPr="00306733" w:rsidRDefault="00306733" w:rsidP="00306733">
      <w:pPr>
        <w:contextualSpacing/>
        <w:jc w:val="center"/>
        <w:rPr>
          <w:b/>
        </w:rPr>
      </w:pP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                                   ОМБ = ((ЗП х Киз х Ирот) / ЧП) х Кор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 ОМБi – объем межбюджетного трансферта, предоставляемый из бюджета поселения, округленный до целых сотен рублей;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4-х рабочих дней из 247 рабочих дней за 2023 год  на поселение), устанавливается равным 14288;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Киз - коэффициент иных затрат, установленный равным 1,1;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Ирот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ЧП – число поселений, в которых не созданы контрольно-счетные органы, установлен равным 18;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Кор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«0,9» - для первой группы поселений, объем расходной части бюджета которых не превышает 3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«1» - для второй группы поселений, объем расходной части бюджета которых свыше 3 млн. рублей и не превышает 5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«1,1» - для третьей группы поселений, объем расходной части бюджета которых свыше 5 млн. рублей и не превышает 10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«1,2» - для четвертой группы поселений, объем расходной части бюджета которых свыше 10 млн. рублей и не превышает 20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«1,3» - для пятой группы поселений, объем расходной части бюджета которых свыше 20 млн. рублей и не превышает 30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«1,4» - для шестой группы поселений, объем расходной части бюджета которых свыше 30 млн. рублей и не превышает 40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«1,5» - для седьмой группы поселений, объем расходной части бюджета которых свыше 40 млн. рублей и не превышает 50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«1,6» - для восьмой группы поселений, объем расходной части бюджета которых свыше 50 млн. рублей и не превышает 60 млн. рублей;</w:t>
      </w:r>
    </w:p>
    <w:p w:rsidR="00306733" w:rsidRPr="00306733" w:rsidRDefault="00306733" w:rsidP="00306733">
      <w:pPr>
        <w:shd w:val="clear" w:color="auto" w:fill="FFFFFF"/>
        <w:contextualSpacing/>
        <w:jc w:val="both"/>
      </w:pPr>
      <w:r w:rsidRPr="00306733">
        <w:t>- «1,7» - для девятой группы поселений, объем расходной части бюджета которых свыше 60 млн. рублей и не превышает 70 млн. рублей.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t>Объем расходной части бюджета поселения для отнесения к определенной группе определяется по кассовому исполнению за 2021 финансовый год (</w:t>
      </w:r>
      <w:r w:rsidRPr="00306733">
        <w:rPr>
          <w:color w:val="000000"/>
        </w:rPr>
        <w:t>4171774,93 руб.)</w:t>
      </w:r>
      <w:r w:rsidRPr="00306733">
        <w:t>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</w:pPr>
      <w:r w:rsidRPr="00306733">
        <w:lastRenderedPageBreak/>
        <w:t>ОМБ 2 группы поселений = ((14288 х 1,1 х 1) /18) х 1,0= 900 руб.</w:t>
      </w:r>
    </w:p>
    <w:p w:rsidR="00306733" w:rsidRPr="00306733" w:rsidRDefault="00306733" w:rsidP="00306733">
      <w:pPr>
        <w:shd w:val="clear" w:color="auto" w:fill="FFFFFF"/>
        <w:ind w:firstLine="709"/>
        <w:contextualSpacing/>
        <w:jc w:val="both"/>
        <w:rPr>
          <w:b/>
        </w:rPr>
      </w:pPr>
      <w:r w:rsidRPr="00306733">
        <w:t xml:space="preserve">Объем межбюджетного трансферта, предоставляемый из бюджета муниципального образования Среднесибирский сельсовет, на 2023 год составляет </w:t>
      </w:r>
      <w:r w:rsidRPr="00306733">
        <w:rPr>
          <w:b/>
        </w:rPr>
        <w:t>900 (Девятьсот) рублей 00 копеек.</w:t>
      </w:r>
    </w:p>
    <w:p w:rsidR="00306733" w:rsidRPr="00306733" w:rsidRDefault="00306733" w:rsidP="00306733">
      <w:pPr>
        <w:contextualSpacing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  <w:r w:rsidRPr="00306733">
              <w:t>Совет депутатов Среднесибирского сельсовета 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658007, Алтайский край, п. Среднесибирский, ул.Юбилейная, 2</w:t>
            </w: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 В.Н. Карташев 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  <w:p w:rsidR="00306733" w:rsidRPr="00306733" w:rsidRDefault="00306733" w:rsidP="00306733">
            <w:pPr>
              <w:jc w:val="both"/>
            </w:pPr>
            <w:r w:rsidRPr="00306733">
              <w:t>Глава сельсовета</w:t>
            </w:r>
          </w:p>
          <w:p w:rsidR="00306733" w:rsidRPr="00306733" w:rsidRDefault="00306733" w:rsidP="00306733">
            <w:pPr>
              <w:jc w:val="both"/>
            </w:pPr>
            <w:r w:rsidRPr="00306733">
              <w:t>________________/В.Я. Эрмиш/</w:t>
            </w:r>
          </w:p>
        </w:tc>
      </w:tr>
    </w:tbl>
    <w:p w:rsidR="00306733" w:rsidRPr="00306733" w:rsidRDefault="00306733" w:rsidP="00306733">
      <w:pPr>
        <w:jc w:val="both"/>
      </w:pPr>
      <w:r w:rsidRPr="00306733">
        <w:t>М.П.                                                                    М.П.</w:t>
      </w:r>
    </w:p>
    <w:p w:rsidR="00306733" w:rsidRPr="00306733" w:rsidRDefault="00306733" w:rsidP="00306733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р.п. Тальменка, пер. Банковский,3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33" w:rsidRPr="00306733" w:rsidTr="00901357">
        <w:tc>
          <w:tcPr>
            <w:tcW w:w="4785" w:type="dxa"/>
          </w:tcPr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6733" w:rsidRPr="00306733" w:rsidRDefault="00306733" w:rsidP="00306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33">
              <w:rPr>
                <w:rFonts w:ascii="Times New Roman" w:hAnsi="Times New Roman" w:cs="Times New Roman"/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306733" w:rsidRPr="00306733" w:rsidRDefault="00306733" w:rsidP="00306733">
            <w:pPr>
              <w:jc w:val="both"/>
            </w:pPr>
          </w:p>
        </w:tc>
      </w:tr>
    </w:tbl>
    <w:p w:rsidR="00306733" w:rsidRPr="00306733" w:rsidRDefault="00306733" w:rsidP="00306733">
      <w:pPr>
        <w:jc w:val="both"/>
      </w:pPr>
      <w:r w:rsidRPr="00306733">
        <w:t xml:space="preserve">М.П.                   </w:t>
      </w:r>
    </w:p>
    <w:p w:rsidR="00306733" w:rsidRPr="00306733" w:rsidRDefault="00306733" w:rsidP="00306733">
      <w:pPr>
        <w:contextualSpacing/>
        <w:jc w:val="center"/>
      </w:pPr>
    </w:p>
    <w:p w:rsidR="0012036D" w:rsidRPr="00306733" w:rsidRDefault="0012036D" w:rsidP="00306733">
      <w:pPr>
        <w:contextualSpacing/>
        <w:jc w:val="center"/>
        <w:rPr>
          <w:sz w:val="28"/>
          <w:szCs w:val="28"/>
        </w:rPr>
      </w:pPr>
    </w:p>
    <w:sectPr w:rsidR="0012036D" w:rsidRPr="00306733" w:rsidSect="009822D2">
      <w:head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A8" w:rsidRDefault="00415DA8" w:rsidP="002640B5">
      <w:r>
        <w:separator/>
      </w:r>
    </w:p>
  </w:endnote>
  <w:endnote w:type="continuationSeparator" w:id="1">
    <w:p w:rsidR="00415DA8" w:rsidRDefault="00415DA8" w:rsidP="0026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A8" w:rsidRDefault="00415DA8" w:rsidP="002640B5">
      <w:r>
        <w:separator/>
      </w:r>
    </w:p>
  </w:footnote>
  <w:footnote w:type="continuationSeparator" w:id="1">
    <w:p w:rsidR="00415DA8" w:rsidRDefault="00415DA8" w:rsidP="0026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5" w:rsidRDefault="00D93903">
    <w:pPr>
      <w:pStyle w:val="aa"/>
    </w:pPr>
    <w:r w:rsidRPr="00D93903">
      <w:t xml:space="preserve">Проект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421"/>
    <w:rsid w:val="000304B6"/>
    <w:rsid w:val="00062FB7"/>
    <w:rsid w:val="000822FA"/>
    <w:rsid w:val="00100B03"/>
    <w:rsid w:val="0012036D"/>
    <w:rsid w:val="00155499"/>
    <w:rsid w:val="00157C84"/>
    <w:rsid w:val="0018182B"/>
    <w:rsid w:val="001A5511"/>
    <w:rsid w:val="001B4C5E"/>
    <w:rsid w:val="001C124C"/>
    <w:rsid w:val="001C361A"/>
    <w:rsid w:val="001C47B6"/>
    <w:rsid w:val="001F5938"/>
    <w:rsid w:val="00223AA7"/>
    <w:rsid w:val="002640B5"/>
    <w:rsid w:val="002A4991"/>
    <w:rsid w:val="002A5555"/>
    <w:rsid w:val="002D15EF"/>
    <w:rsid w:val="002E5C5A"/>
    <w:rsid w:val="00306733"/>
    <w:rsid w:val="00337784"/>
    <w:rsid w:val="00337E0F"/>
    <w:rsid w:val="00345904"/>
    <w:rsid w:val="003609C3"/>
    <w:rsid w:val="00380C90"/>
    <w:rsid w:val="003B60EC"/>
    <w:rsid w:val="003C6DEE"/>
    <w:rsid w:val="003E3FF8"/>
    <w:rsid w:val="003F42E9"/>
    <w:rsid w:val="003F78F7"/>
    <w:rsid w:val="00415DA8"/>
    <w:rsid w:val="004633A2"/>
    <w:rsid w:val="004B66AC"/>
    <w:rsid w:val="004D4874"/>
    <w:rsid w:val="0053686E"/>
    <w:rsid w:val="00613BA9"/>
    <w:rsid w:val="00624595"/>
    <w:rsid w:val="0066574B"/>
    <w:rsid w:val="00687688"/>
    <w:rsid w:val="006902D1"/>
    <w:rsid w:val="006953AE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8F649D"/>
    <w:rsid w:val="00927E11"/>
    <w:rsid w:val="00931D91"/>
    <w:rsid w:val="00965D0A"/>
    <w:rsid w:val="0097035B"/>
    <w:rsid w:val="009822D2"/>
    <w:rsid w:val="0099173A"/>
    <w:rsid w:val="009C685E"/>
    <w:rsid w:val="009C6B60"/>
    <w:rsid w:val="009C7988"/>
    <w:rsid w:val="009F6D9D"/>
    <w:rsid w:val="00A54F32"/>
    <w:rsid w:val="00A74865"/>
    <w:rsid w:val="00AC7421"/>
    <w:rsid w:val="00AD5A84"/>
    <w:rsid w:val="00B74718"/>
    <w:rsid w:val="00BC3117"/>
    <w:rsid w:val="00BC64E7"/>
    <w:rsid w:val="00C32438"/>
    <w:rsid w:val="00C52AE6"/>
    <w:rsid w:val="00CC25CD"/>
    <w:rsid w:val="00D13730"/>
    <w:rsid w:val="00D93903"/>
    <w:rsid w:val="00DC0AAA"/>
    <w:rsid w:val="00DD1E19"/>
    <w:rsid w:val="00DE53B5"/>
    <w:rsid w:val="00E12184"/>
    <w:rsid w:val="00E56332"/>
    <w:rsid w:val="00E74B19"/>
    <w:rsid w:val="00EA49D8"/>
    <w:rsid w:val="00EE5F3C"/>
    <w:rsid w:val="00E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C5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2AE6"/>
  </w:style>
  <w:style w:type="paragraph" w:styleId="aa">
    <w:name w:val="header"/>
    <w:basedOn w:val="a"/>
    <w:link w:val="ab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4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4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SRED</cp:lastModifiedBy>
  <cp:revision>15</cp:revision>
  <cp:lastPrinted>2018-10-24T02:46:00Z</cp:lastPrinted>
  <dcterms:created xsi:type="dcterms:W3CDTF">2020-11-15T14:45:00Z</dcterms:created>
  <dcterms:modified xsi:type="dcterms:W3CDTF">2022-10-31T07:16:00Z</dcterms:modified>
</cp:coreProperties>
</file>